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6"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tblPr>
      <w:tblGrid>
        <w:gridCol w:w="4465"/>
        <w:gridCol w:w="4961"/>
      </w:tblGrid>
      <w:tr w:rsidR="008C54DD" w:rsidRPr="00222151" w:rsidTr="00BB3806">
        <w:tc>
          <w:tcPr>
            <w:tcW w:w="9426" w:type="dxa"/>
            <w:gridSpan w:val="2"/>
            <w:tcBorders>
              <w:top w:val="single" w:sz="6" w:space="0" w:color="000000"/>
              <w:left w:val="single" w:sz="6" w:space="0" w:color="000000"/>
              <w:bottom w:val="nil"/>
              <w:right w:val="single" w:sz="6" w:space="0" w:color="000000"/>
            </w:tcBorders>
            <w:hideMark/>
          </w:tcPr>
          <w:p w:rsidR="008C54DD" w:rsidRPr="00222151" w:rsidRDefault="008C54DD" w:rsidP="00BB3806">
            <w:pPr>
              <w:jc w:val="center"/>
              <w:rPr>
                <w:sz w:val="24"/>
                <w:szCs w:val="24"/>
              </w:rPr>
            </w:pPr>
            <w:r w:rsidRPr="00222151">
              <w:rPr>
                <w:sz w:val="24"/>
                <w:szCs w:val="24"/>
              </w:rPr>
              <w:t>Masarykova základní škola Velký Osek, okres Kolín</w:t>
            </w:r>
          </w:p>
        </w:tc>
      </w:tr>
      <w:tr w:rsidR="008C54DD" w:rsidRPr="00222151" w:rsidTr="00BB3806">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8C54DD" w:rsidRPr="008C54DD" w:rsidRDefault="008C54DD" w:rsidP="00BB3806">
            <w:pPr>
              <w:spacing w:before="120" w:line="240" w:lineRule="atLeast"/>
              <w:jc w:val="center"/>
              <w:rPr>
                <w:b/>
                <w:sz w:val="32"/>
                <w:szCs w:val="32"/>
              </w:rPr>
            </w:pPr>
            <w:r w:rsidRPr="008C54DD">
              <w:rPr>
                <w:b/>
                <w:sz w:val="32"/>
                <w:szCs w:val="32"/>
              </w:rPr>
              <w:t>Výběrové řízení</w:t>
            </w:r>
          </w:p>
        </w:tc>
      </w:tr>
      <w:tr w:rsidR="008C54DD" w:rsidRPr="00222151" w:rsidTr="00BB3806">
        <w:tc>
          <w:tcPr>
            <w:tcW w:w="4465" w:type="dxa"/>
            <w:tcBorders>
              <w:top w:val="single" w:sz="6" w:space="0" w:color="000000"/>
              <w:left w:val="single" w:sz="6" w:space="0" w:color="000000"/>
              <w:bottom w:val="single" w:sz="6" w:space="0" w:color="000000"/>
              <w:right w:val="single" w:sz="6" w:space="0" w:color="000000"/>
            </w:tcBorders>
            <w:hideMark/>
          </w:tcPr>
          <w:p w:rsidR="008C54DD" w:rsidRPr="00222151" w:rsidRDefault="008C54DD" w:rsidP="00BB3806">
            <w:pPr>
              <w:spacing w:before="120" w:line="240" w:lineRule="atLeast"/>
              <w:rPr>
                <w:sz w:val="24"/>
                <w:szCs w:val="24"/>
              </w:rPr>
            </w:pPr>
            <w:r w:rsidRPr="00222151">
              <w:rPr>
                <w:sz w:val="24"/>
                <w:szCs w:val="24"/>
              </w:rPr>
              <w:t>Č.j.:</w:t>
            </w:r>
            <w:r w:rsidR="00DB7ADC">
              <w:rPr>
                <w:sz w:val="24"/>
                <w:szCs w:val="24"/>
              </w:rPr>
              <w:t xml:space="preserve"> </w:t>
            </w:r>
            <w:r>
              <w:rPr>
                <w:sz w:val="24"/>
                <w:szCs w:val="24"/>
              </w:rPr>
              <w:t xml:space="preserve"> </w:t>
            </w:r>
            <w:r w:rsidR="00DB7ADC">
              <w:rPr>
                <w:sz w:val="24"/>
                <w:szCs w:val="24"/>
              </w:rPr>
              <w:t>95</w:t>
            </w:r>
            <w:r>
              <w:rPr>
                <w:sz w:val="24"/>
                <w:szCs w:val="24"/>
              </w:rPr>
              <w:t>/2015</w:t>
            </w:r>
          </w:p>
        </w:tc>
        <w:tc>
          <w:tcPr>
            <w:tcW w:w="4961" w:type="dxa"/>
            <w:tcBorders>
              <w:top w:val="single" w:sz="6" w:space="0" w:color="000000"/>
              <w:left w:val="single" w:sz="6" w:space="0" w:color="000000"/>
              <w:bottom w:val="single" w:sz="6" w:space="0" w:color="000000"/>
              <w:right w:val="single" w:sz="6" w:space="0" w:color="000000"/>
            </w:tcBorders>
            <w:hideMark/>
          </w:tcPr>
          <w:p w:rsidR="008C54DD" w:rsidRPr="00222151" w:rsidRDefault="008C54DD" w:rsidP="00BB3806">
            <w:pPr>
              <w:spacing w:before="120" w:line="240" w:lineRule="atLeast"/>
              <w:rPr>
                <w:sz w:val="24"/>
                <w:szCs w:val="24"/>
              </w:rPr>
            </w:pPr>
            <w:r w:rsidRPr="00222151">
              <w:rPr>
                <w:sz w:val="24"/>
                <w:szCs w:val="24"/>
              </w:rPr>
              <w:t xml:space="preserve">   </w:t>
            </w:r>
          </w:p>
        </w:tc>
      </w:tr>
      <w:tr w:rsidR="008C54DD" w:rsidRPr="00222151" w:rsidTr="00BB3806">
        <w:tc>
          <w:tcPr>
            <w:tcW w:w="4465" w:type="dxa"/>
            <w:tcBorders>
              <w:top w:val="single" w:sz="6" w:space="0" w:color="000000"/>
              <w:left w:val="single" w:sz="6" w:space="0" w:color="000000"/>
              <w:bottom w:val="single" w:sz="6" w:space="0" w:color="000000"/>
              <w:right w:val="single" w:sz="6" w:space="0" w:color="000000"/>
            </w:tcBorders>
            <w:hideMark/>
          </w:tcPr>
          <w:p w:rsidR="008C54DD" w:rsidRPr="00222151" w:rsidRDefault="008C54DD" w:rsidP="00BB3806">
            <w:pPr>
              <w:spacing w:before="120" w:line="240" w:lineRule="atLeast"/>
              <w:rPr>
                <w:sz w:val="24"/>
                <w:szCs w:val="24"/>
              </w:rPr>
            </w:pPr>
            <w:r w:rsidRPr="00222151">
              <w:rPr>
                <w:sz w:val="24"/>
                <w:szCs w:val="24"/>
              </w:rPr>
              <w:t>Vypracoval:</w:t>
            </w:r>
          </w:p>
        </w:tc>
        <w:tc>
          <w:tcPr>
            <w:tcW w:w="4961" w:type="dxa"/>
            <w:tcBorders>
              <w:top w:val="single" w:sz="6" w:space="0" w:color="000000"/>
              <w:left w:val="single" w:sz="6" w:space="0" w:color="000000"/>
              <w:bottom w:val="single" w:sz="6" w:space="0" w:color="000000"/>
              <w:right w:val="single" w:sz="6" w:space="0" w:color="000000"/>
            </w:tcBorders>
            <w:hideMark/>
          </w:tcPr>
          <w:p w:rsidR="008C54DD" w:rsidRPr="00222151" w:rsidRDefault="008C54DD" w:rsidP="00BB3806">
            <w:pPr>
              <w:pStyle w:val="DefinitionTerm"/>
              <w:widowControl/>
              <w:spacing w:before="120" w:line="240" w:lineRule="atLeast"/>
              <w:jc w:val="right"/>
            </w:pPr>
            <w:r w:rsidRPr="00222151">
              <w:t xml:space="preserve">Mgr. Zuzana Strejčková, ředitelka školy </w:t>
            </w:r>
          </w:p>
        </w:tc>
      </w:tr>
      <w:tr w:rsidR="008C54DD" w:rsidRPr="00222151" w:rsidTr="00BB3806">
        <w:tc>
          <w:tcPr>
            <w:tcW w:w="4465" w:type="dxa"/>
            <w:tcBorders>
              <w:top w:val="single" w:sz="6" w:space="0" w:color="000000"/>
              <w:left w:val="single" w:sz="6" w:space="0" w:color="000000"/>
              <w:bottom w:val="single" w:sz="6" w:space="0" w:color="000000"/>
              <w:right w:val="single" w:sz="6" w:space="0" w:color="000000"/>
            </w:tcBorders>
            <w:hideMark/>
          </w:tcPr>
          <w:p w:rsidR="008C54DD" w:rsidRPr="00222151" w:rsidRDefault="008C54DD" w:rsidP="00BB3806">
            <w:pPr>
              <w:spacing w:before="120" w:line="240" w:lineRule="atLeast"/>
              <w:rPr>
                <w:sz w:val="24"/>
                <w:szCs w:val="24"/>
              </w:rPr>
            </w:pPr>
            <w:r w:rsidRPr="00222151">
              <w:rPr>
                <w:sz w:val="24"/>
                <w:szCs w:val="24"/>
              </w:rPr>
              <w:t>Schválil:</w:t>
            </w:r>
          </w:p>
        </w:tc>
        <w:tc>
          <w:tcPr>
            <w:tcW w:w="4961" w:type="dxa"/>
            <w:tcBorders>
              <w:top w:val="single" w:sz="6" w:space="0" w:color="000000"/>
              <w:left w:val="single" w:sz="6" w:space="0" w:color="000000"/>
              <w:bottom w:val="single" w:sz="6" w:space="0" w:color="000000"/>
              <w:right w:val="single" w:sz="6" w:space="0" w:color="000000"/>
            </w:tcBorders>
            <w:hideMark/>
          </w:tcPr>
          <w:p w:rsidR="008C54DD" w:rsidRPr="00222151" w:rsidRDefault="008C54DD" w:rsidP="00BB3806">
            <w:pPr>
              <w:spacing w:before="120" w:line="240" w:lineRule="atLeast"/>
              <w:jc w:val="right"/>
              <w:rPr>
                <w:sz w:val="24"/>
                <w:szCs w:val="24"/>
              </w:rPr>
            </w:pPr>
            <w:r w:rsidRPr="00222151">
              <w:rPr>
                <w:sz w:val="24"/>
                <w:szCs w:val="24"/>
              </w:rPr>
              <w:t xml:space="preserve">Mgr. Zuzana Strejčková, ředitelka školy </w:t>
            </w:r>
          </w:p>
        </w:tc>
      </w:tr>
      <w:tr w:rsidR="008C54DD" w:rsidRPr="00222151" w:rsidTr="00BB3806">
        <w:tc>
          <w:tcPr>
            <w:tcW w:w="4465" w:type="dxa"/>
            <w:tcBorders>
              <w:top w:val="single" w:sz="6" w:space="0" w:color="000000"/>
              <w:left w:val="single" w:sz="6" w:space="0" w:color="000000"/>
              <w:bottom w:val="single" w:sz="6" w:space="0" w:color="000000"/>
              <w:right w:val="single" w:sz="6" w:space="0" w:color="000000"/>
            </w:tcBorders>
            <w:hideMark/>
          </w:tcPr>
          <w:p w:rsidR="008C54DD" w:rsidRPr="00222151" w:rsidRDefault="008C54DD" w:rsidP="00BB3806">
            <w:pPr>
              <w:spacing w:before="120" w:line="240" w:lineRule="atLeast"/>
              <w:rPr>
                <w:sz w:val="24"/>
                <w:szCs w:val="24"/>
              </w:rPr>
            </w:pPr>
            <w:r w:rsidRPr="00222151">
              <w:rPr>
                <w:sz w:val="24"/>
                <w:szCs w:val="24"/>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tcPr>
          <w:p w:rsidR="008C54DD" w:rsidRPr="00222151" w:rsidRDefault="008C54DD" w:rsidP="00BB3806">
            <w:pPr>
              <w:spacing w:before="120" w:line="240" w:lineRule="atLeast"/>
              <w:rPr>
                <w:sz w:val="24"/>
                <w:szCs w:val="24"/>
              </w:rPr>
            </w:pPr>
            <w:r>
              <w:rPr>
                <w:sz w:val="24"/>
                <w:szCs w:val="24"/>
              </w:rPr>
              <w:t>21.1. 2015</w:t>
            </w:r>
          </w:p>
        </w:tc>
      </w:tr>
      <w:tr w:rsidR="008C54DD" w:rsidRPr="00222151" w:rsidTr="00BB3806">
        <w:tc>
          <w:tcPr>
            <w:tcW w:w="4465" w:type="dxa"/>
            <w:tcBorders>
              <w:top w:val="single" w:sz="6" w:space="0" w:color="000000"/>
              <w:left w:val="single" w:sz="6" w:space="0" w:color="000000"/>
              <w:bottom w:val="single" w:sz="6" w:space="0" w:color="000000"/>
              <w:right w:val="single" w:sz="6" w:space="0" w:color="000000"/>
            </w:tcBorders>
            <w:hideMark/>
          </w:tcPr>
          <w:p w:rsidR="008C54DD" w:rsidRPr="00222151" w:rsidRDefault="008C54DD" w:rsidP="00BB3806">
            <w:pPr>
              <w:spacing w:before="120" w:line="240" w:lineRule="atLeast"/>
              <w:rPr>
                <w:sz w:val="24"/>
                <w:szCs w:val="24"/>
              </w:rPr>
            </w:pPr>
            <w:r w:rsidRPr="00222151">
              <w:rPr>
                <w:sz w:val="24"/>
                <w:szCs w:val="24"/>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tcPr>
          <w:p w:rsidR="008C54DD" w:rsidRPr="00222151" w:rsidRDefault="008C54DD" w:rsidP="00BB3806">
            <w:pPr>
              <w:spacing w:before="120" w:line="240" w:lineRule="atLeast"/>
              <w:rPr>
                <w:sz w:val="24"/>
                <w:szCs w:val="24"/>
              </w:rPr>
            </w:pPr>
            <w:r>
              <w:rPr>
                <w:sz w:val="24"/>
                <w:szCs w:val="24"/>
              </w:rPr>
              <w:t>19.2. 2015</w:t>
            </w:r>
            <w:r w:rsidR="00DC320D">
              <w:rPr>
                <w:sz w:val="24"/>
                <w:szCs w:val="24"/>
              </w:rPr>
              <w:t xml:space="preserve">          </w:t>
            </w:r>
          </w:p>
        </w:tc>
      </w:tr>
      <w:tr w:rsidR="00DC320D" w:rsidRPr="00222151" w:rsidTr="00BB3806">
        <w:tc>
          <w:tcPr>
            <w:tcW w:w="4465" w:type="dxa"/>
            <w:tcBorders>
              <w:top w:val="single" w:sz="6" w:space="0" w:color="000000"/>
              <w:left w:val="single" w:sz="6" w:space="0" w:color="000000"/>
              <w:bottom w:val="single" w:sz="6" w:space="0" w:color="000000"/>
              <w:right w:val="single" w:sz="6" w:space="0" w:color="000000"/>
            </w:tcBorders>
            <w:hideMark/>
          </w:tcPr>
          <w:p w:rsidR="00DC320D" w:rsidRPr="00222151" w:rsidRDefault="00DC320D" w:rsidP="00BB3806">
            <w:pPr>
              <w:spacing w:before="120" w:line="240" w:lineRule="atLeast"/>
              <w:rPr>
                <w:sz w:val="24"/>
                <w:szCs w:val="24"/>
              </w:rPr>
            </w:pPr>
            <w:r>
              <w:rPr>
                <w:sz w:val="24"/>
                <w:szCs w:val="24"/>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tcPr>
          <w:p w:rsidR="00DC320D" w:rsidRDefault="00DC320D" w:rsidP="00BB3806">
            <w:pPr>
              <w:spacing w:before="120" w:line="240" w:lineRule="atLeast"/>
              <w:rPr>
                <w:sz w:val="24"/>
                <w:szCs w:val="24"/>
              </w:rPr>
            </w:pPr>
            <w:r>
              <w:rPr>
                <w:sz w:val="24"/>
                <w:szCs w:val="24"/>
              </w:rPr>
              <w:t>19.2. 2015</w:t>
            </w:r>
          </w:p>
        </w:tc>
      </w:tr>
      <w:tr w:rsidR="008C54DD" w:rsidRPr="00222151" w:rsidTr="00BB3806">
        <w:tc>
          <w:tcPr>
            <w:tcW w:w="9426" w:type="dxa"/>
            <w:gridSpan w:val="2"/>
            <w:tcBorders>
              <w:top w:val="single" w:sz="6" w:space="0" w:color="000000"/>
              <w:left w:val="single" w:sz="6" w:space="0" w:color="000000"/>
              <w:bottom w:val="single" w:sz="6" w:space="0" w:color="000000"/>
              <w:right w:val="single" w:sz="6" w:space="0" w:color="000000"/>
            </w:tcBorders>
            <w:hideMark/>
          </w:tcPr>
          <w:p w:rsidR="008C54DD" w:rsidRPr="00222151" w:rsidRDefault="008C54DD" w:rsidP="00BB3806">
            <w:pPr>
              <w:rPr>
                <w:sz w:val="24"/>
                <w:szCs w:val="24"/>
              </w:rPr>
            </w:pPr>
            <w:r w:rsidRPr="00222151">
              <w:rPr>
                <w:sz w:val="24"/>
                <w:szCs w:val="24"/>
              </w:rPr>
              <w:t>Změny ve směrnici jsou prováděny formou číslovaných písemných dodatků, které tvoří součást tohoto předpisu.</w:t>
            </w:r>
          </w:p>
        </w:tc>
      </w:tr>
      <w:tr w:rsidR="008C54DD" w:rsidRPr="00222151" w:rsidTr="00BB3806">
        <w:tc>
          <w:tcPr>
            <w:tcW w:w="9426" w:type="dxa"/>
            <w:gridSpan w:val="2"/>
            <w:tcBorders>
              <w:top w:val="single" w:sz="6" w:space="0" w:color="000000"/>
              <w:left w:val="single" w:sz="6" w:space="0" w:color="000000"/>
              <w:bottom w:val="single" w:sz="6" w:space="0" w:color="000000"/>
              <w:right w:val="single" w:sz="6" w:space="0" w:color="000000"/>
            </w:tcBorders>
          </w:tcPr>
          <w:p w:rsidR="008C54DD" w:rsidRDefault="008C54DD" w:rsidP="00BB3806">
            <w:pPr>
              <w:rPr>
                <w:sz w:val="24"/>
                <w:szCs w:val="24"/>
              </w:rPr>
            </w:pPr>
            <w:r>
              <w:rPr>
                <w:sz w:val="24"/>
                <w:szCs w:val="24"/>
              </w:rPr>
              <w:t>Spisový znak</w:t>
            </w:r>
            <w:r w:rsidR="00C053BF">
              <w:rPr>
                <w:sz w:val="24"/>
                <w:szCs w:val="24"/>
              </w:rPr>
              <w:t>a.1.1.3.</w:t>
            </w:r>
          </w:p>
          <w:p w:rsidR="008C54DD" w:rsidRPr="00222151" w:rsidRDefault="008C54DD" w:rsidP="00BB3806">
            <w:pPr>
              <w:rPr>
                <w:sz w:val="24"/>
                <w:szCs w:val="24"/>
              </w:rPr>
            </w:pPr>
            <w:r>
              <w:rPr>
                <w:sz w:val="24"/>
                <w:szCs w:val="24"/>
              </w:rPr>
              <w:t>Skartační znak</w:t>
            </w:r>
            <w:r w:rsidR="00DC320D">
              <w:rPr>
                <w:sz w:val="24"/>
                <w:szCs w:val="24"/>
              </w:rPr>
              <w:t xml:space="preserve"> A </w:t>
            </w:r>
            <w:r w:rsidR="00C053BF">
              <w:rPr>
                <w:sz w:val="24"/>
                <w:szCs w:val="24"/>
              </w:rPr>
              <w:t>10</w:t>
            </w:r>
          </w:p>
        </w:tc>
      </w:tr>
    </w:tbl>
    <w:p w:rsidR="008C54DD" w:rsidRDefault="008C54DD" w:rsidP="008C54DD">
      <w:pPr>
        <w:rPr>
          <w:b/>
          <w:color w:val="0000FF"/>
          <w:sz w:val="24"/>
          <w:szCs w:val="24"/>
        </w:rPr>
      </w:pPr>
    </w:p>
    <w:p w:rsidR="008C54DD" w:rsidRDefault="008C54DD" w:rsidP="008C54DD">
      <w:pPr>
        <w:rPr>
          <w:b/>
          <w:color w:val="0000FF"/>
          <w:sz w:val="24"/>
          <w:szCs w:val="24"/>
        </w:rPr>
      </w:pPr>
    </w:p>
    <w:p w:rsidR="008C54DD" w:rsidRPr="008C54DD" w:rsidRDefault="008C54DD" w:rsidP="008C54DD">
      <w:pPr>
        <w:rPr>
          <w:b/>
          <w:sz w:val="24"/>
          <w:szCs w:val="24"/>
        </w:rPr>
      </w:pPr>
      <w:r w:rsidRPr="008C54DD">
        <w:rPr>
          <w:b/>
          <w:sz w:val="24"/>
          <w:szCs w:val="24"/>
        </w:rPr>
        <w:t>Obecná ustanovení</w:t>
      </w:r>
    </w:p>
    <w:p w:rsidR="008C54DD" w:rsidRPr="00334950" w:rsidRDefault="008C54DD" w:rsidP="008C54DD">
      <w:pPr>
        <w:rPr>
          <w:sz w:val="24"/>
          <w:szCs w:val="24"/>
        </w:rPr>
      </w:pPr>
    </w:p>
    <w:p w:rsidR="008C54DD" w:rsidRPr="00334950" w:rsidRDefault="008C54DD" w:rsidP="008C54DD">
      <w:pPr>
        <w:rPr>
          <w:sz w:val="24"/>
          <w:szCs w:val="24"/>
        </w:rPr>
      </w:pPr>
      <w:r w:rsidRPr="00334950">
        <w:rPr>
          <w:sz w:val="24"/>
          <w:szCs w:val="24"/>
        </w:rPr>
        <w:t>Na základě ustanovení zákona č. 1</w:t>
      </w:r>
      <w:r>
        <w:rPr>
          <w:sz w:val="24"/>
          <w:szCs w:val="24"/>
        </w:rPr>
        <w:t>37</w:t>
      </w:r>
      <w:r w:rsidRPr="00334950">
        <w:rPr>
          <w:sz w:val="24"/>
          <w:szCs w:val="24"/>
        </w:rPr>
        <w:t>/</w:t>
      </w:r>
      <w:r>
        <w:rPr>
          <w:sz w:val="24"/>
          <w:szCs w:val="24"/>
        </w:rPr>
        <w:t>2006</w:t>
      </w:r>
      <w:r w:rsidRPr="00334950">
        <w:rPr>
          <w:sz w:val="24"/>
          <w:szCs w:val="24"/>
        </w:rPr>
        <w:t xml:space="preserve"> Sb., o </w:t>
      </w:r>
      <w:r>
        <w:rPr>
          <w:sz w:val="24"/>
          <w:szCs w:val="24"/>
        </w:rPr>
        <w:t>veřejných zakázkách, v platném znění,</w:t>
      </w:r>
      <w:r w:rsidRPr="00334950">
        <w:rPr>
          <w:sz w:val="24"/>
          <w:szCs w:val="24"/>
        </w:rPr>
        <w:t xml:space="preserve"> vydávám jako statutární orgán školy tuto směrnici</w:t>
      </w:r>
      <w:r w:rsidRPr="00086D07">
        <w:rPr>
          <w:sz w:val="24"/>
          <w:szCs w:val="24"/>
        </w:rPr>
        <w:t xml:space="preserve">. </w:t>
      </w:r>
    </w:p>
    <w:p w:rsidR="008C54DD" w:rsidRPr="00334950" w:rsidRDefault="008C54DD" w:rsidP="008C54DD">
      <w:pPr>
        <w:pStyle w:val="Prosttext1"/>
        <w:rPr>
          <w:rFonts w:ascii="Times New Roman" w:hAnsi="Times New Roman"/>
          <w:b/>
          <w:sz w:val="24"/>
          <w:szCs w:val="24"/>
        </w:rPr>
      </w:pPr>
    </w:p>
    <w:p w:rsidR="008C54DD" w:rsidRDefault="008C54DD" w:rsidP="008C54DD">
      <w:pPr>
        <w:pStyle w:val="Prosttext1"/>
        <w:rPr>
          <w:rFonts w:ascii="Times New Roman" w:hAnsi="Times New Roman"/>
          <w:sz w:val="24"/>
          <w:szCs w:val="24"/>
        </w:rPr>
      </w:pPr>
    </w:p>
    <w:p w:rsidR="008C54DD" w:rsidRPr="00086D07" w:rsidRDefault="008C54DD" w:rsidP="008C54DD">
      <w:pPr>
        <w:ind w:right="22"/>
        <w:jc w:val="both"/>
        <w:rPr>
          <w:sz w:val="24"/>
          <w:szCs w:val="24"/>
        </w:rPr>
      </w:pPr>
      <w:r w:rsidRPr="00086D07">
        <w:rPr>
          <w:sz w:val="24"/>
          <w:szCs w:val="24"/>
        </w:rPr>
        <w:t>1. Škola může provádět pouze v</w:t>
      </w:r>
      <w:r>
        <w:rPr>
          <w:sz w:val="24"/>
          <w:szCs w:val="24"/>
        </w:rPr>
        <w:t>e</w:t>
      </w:r>
      <w:r w:rsidRPr="00086D07">
        <w:rPr>
          <w:sz w:val="24"/>
          <w:szCs w:val="24"/>
        </w:rPr>
        <w:t>řejné zakázky malého rozsahu, to znamená, že není povinna je zadávat podle zákona č. 137/2006 Sb. o veřejných zakázkách v platném znění.</w:t>
      </w:r>
    </w:p>
    <w:p w:rsidR="008C54DD" w:rsidRPr="00086D07" w:rsidRDefault="008C54DD" w:rsidP="008C54DD">
      <w:pPr>
        <w:ind w:right="22"/>
        <w:jc w:val="both"/>
        <w:rPr>
          <w:sz w:val="24"/>
          <w:szCs w:val="24"/>
        </w:rPr>
      </w:pPr>
    </w:p>
    <w:p w:rsidR="008C54DD" w:rsidRPr="00086D07" w:rsidRDefault="008C54DD" w:rsidP="008C54DD">
      <w:pPr>
        <w:ind w:right="22"/>
        <w:jc w:val="both"/>
        <w:rPr>
          <w:sz w:val="24"/>
          <w:szCs w:val="24"/>
        </w:rPr>
      </w:pPr>
      <w:r w:rsidRPr="00086D07">
        <w:rPr>
          <w:sz w:val="24"/>
          <w:szCs w:val="24"/>
        </w:rPr>
        <w:t xml:space="preserve">2. Za veřejnou zakázku malého rozsahu se považuje taková veřejná zakázka, jejíž předpokládaná hodnota nepřesahuje v případě dodávek a služeb </w:t>
      </w:r>
      <w:r>
        <w:rPr>
          <w:sz w:val="24"/>
          <w:szCs w:val="24"/>
        </w:rPr>
        <w:t>2</w:t>
      </w:r>
      <w:r w:rsidRPr="00086D07">
        <w:rPr>
          <w:sz w:val="24"/>
          <w:szCs w:val="24"/>
        </w:rPr>
        <w:t>.000.000,- Kč</w:t>
      </w:r>
      <w:r>
        <w:rPr>
          <w:sz w:val="24"/>
          <w:szCs w:val="24"/>
        </w:rPr>
        <w:t xml:space="preserve"> (k 1.1.2014)</w:t>
      </w:r>
      <w:r w:rsidRPr="00086D07">
        <w:rPr>
          <w:sz w:val="24"/>
          <w:szCs w:val="24"/>
        </w:rPr>
        <w:t xml:space="preserve">, </w:t>
      </w:r>
      <w:r>
        <w:rPr>
          <w:sz w:val="24"/>
          <w:szCs w:val="24"/>
        </w:rPr>
        <w:t xml:space="preserve">bez daně z přidané hodnoty, nebo </w:t>
      </w:r>
      <w:r w:rsidRPr="00086D07">
        <w:rPr>
          <w:sz w:val="24"/>
          <w:szCs w:val="24"/>
        </w:rPr>
        <w:t xml:space="preserve">v případě stavebních prací </w:t>
      </w:r>
      <w:r>
        <w:rPr>
          <w:sz w:val="24"/>
          <w:szCs w:val="24"/>
        </w:rPr>
        <w:t>6</w:t>
      </w:r>
      <w:r w:rsidRPr="00086D07">
        <w:rPr>
          <w:sz w:val="24"/>
          <w:szCs w:val="24"/>
        </w:rPr>
        <w:t>.000.000,- Kč</w:t>
      </w:r>
      <w:r>
        <w:rPr>
          <w:sz w:val="24"/>
          <w:szCs w:val="24"/>
        </w:rPr>
        <w:t xml:space="preserve"> bez daně z přidané hodnoty (k 1.1.2014)</w:t>
      </w:r>
      <w:r w:rsidRPr="00086D07">
        <w:rPr>
          <w:sz w:val="24"/>
          <w:szCs w:val="24"/>
        </w:rPr>
        <w:t xml:space="preserve">. </w:t>
      </w:r>
    </w:p>
    <w:p w:rsidR="008C54DD" w:rsidRPr="00086D07" w:rsidRDefault="008C54DD" w:rsidP="008C54DD">
      <w:pPr>
        <w:ind w:right="22"/>
        <w:jc w:val="both"/>
        <w:rPr>
          <w:sz w:val="24"/>
          <w:szCs w:val="24"/>
        </w:rPr>
      </w:pPr>
    </w:p>
    <w:p w:rsidR="008C54DD" w:rsidRPr="00086D07" w:rsidRDefault="008C54DD" w:rsidP="008C54DD">
      <w:pPr>
        <w:ind w:right="22"/>
        <w:jc w:val="both"/>
        <w:rPr>
          <w:sz w:val="24"/>
          <w:szCs w:val="24"/>
        </w:rPr>
      </w:pPr>
      <w:r w:rsidRPr="00086D07">
        <w:rPr>
          <w:sz w:val="24"/>
          <w:szCs w:val="24"/>
        </w:rPr>
        <w:t>3. Škola je veřejným zadavatelem a proto má podle uvedeného zákona povinnost dodržovat základní zásady transparentnosti, zákazu diskriminace a rovného zacházení.</w:t>
      </w:r>
    </w:p>
    <w:p w:rsidR="008C54DD" w:rsidRPr="00086D07" w:rsidRDefault="008C54DD" w:rsidP="008C54DD">
      <w:pPr>
        <w:pStyle w:val="N1"/>
        <w:tabs>
          <w:tab w:val="clear" w:pos="432"/>
        </w:tabs>
        <w:ind w:left="0" w:right="22" w:firstLine="0"/>
        <w:rPr>
          <w:szCs w:val="24"/>
        </w:rPr>
      </w:pPr>
    </w:p>
    <w:p w:rsidR="008C54DD" w:rsidRPr="00086D07" w:rsidRDefault="008C54DD" w:rsidP="008C54DD">
      <w:pPr>
        <w:pStyle w:val="N1"/>
        <w:tabs>
          <w:tab w:val="clear" w:pos="432"/>
        </w:tabs>
        <w:ind w:left="0" w:right="22" w:firstLine="0"/>
        <w:jc w:val="both"/>
        <w:rPr>
          <w:szCs w:val="24"/>
        </w:rPr>
      </w:pPr>
      <w:r w:rsidRPr="00086D07">
        <w:rPr>
          <w:szCs w:val="24"/>
        </w:rPr>
        <w:t>4. Zadavatel má povinnost zjistit, zda se jedná o veřejnou zakázku malého rozsahu. V souvislosti s tím je stejně jako v případě zadávání všech ostatních veřejných zakázek povinen předně stanovit předpokládanou hodnotu veřejné zakázky, tedy stanovit předpokládanou výši peněžitého závazku vyplývající pro zadavatele z plnění veřejné zakázky (bez DPH).</w:t>
      </w:r>
    </w:p>
    <w:p w:rsidR="008C54DD" w:rsidRPr="00086D07" w:rsidRDefault="008C54DD" w:rsidP="008C54DD">
      <w:pPr>
        <w:pStyle w:val="N1"/>
        <w:tabs>
          <w:tab w:val="clear" w:pos="432"/>
        </w:tabs>
        <w:ind w:left="0" w:right="22" w:firstLine="0"/>
        <w:jc w:val="both"/>
        <w:rPr>
          <w:szCs w:val="24"/>
        </w:rPr>
      </w:pPr>
    </w:p>
    <w:p w:rsidR="008C54DD" w:rsidRPr="00086D07" w:rsidRDefault="008C54DD" w:rsidP="008C54DD">
      <w:pPr>
        <w:pStyle w:val="N1"/>
        <w:tabs>
          <w:tab w:val="clear" w:pos="432"/>
        </w:tabs>
        <w:ind w:left="0" w:right="22" w:firstLine="0"/>
        <w:jc w:val="both"/>
        <w:rPr>
          <w:szCs w:val="24"/>
        </w:rPr>
      </w:pPr>
      <w:r w:rsidRPr="00086D07">
        <w:rPr>
          <w:szCs w:val="24"/>
        </w:rPr>
        <w:t>5. Při stanovování předpokládané hodnoty veřejné zakázky je zadavatel povinen postupovat dle pravidel stanovených zákonem, kdy je na tomto místě zejména třeba upozornit na zákaz rozdělení předmětu veřejné zakázky tak, aby tím došlo ke snížení hodnoty veřejné zakázky a ta se stala veřejnou zakázkou malého rozsahu, tedy takovou, jejíž předpokládaná hodnota nepřekročí limity uvedené výše.</w:t>
      </w:r>
    </w:p>
    <w:p w:rsidR="008C54DD" w:rsidRPr="00086D07" w:rsidRDefault="008C54DD" w:rsidP="008C54DD">
      <w:pPr>
        <w:pStyle w:val="N1"/>
        <w:tabs>
          <w:tab w:val="clear" w:pos="432"/>
        </w:tabs>
        <w:ind w:left="0" w:right="22" w:firstLine="0"/>
        <w:jc w:val="both"/>
        <w:rPr>
          <w:szCs w:val="24"/>
        </w:rPr>
      </w:pPr>
    </w:p>
    <w:p w:rsidR="008C54DD" w:rsidRPr="00086D07" w:rsidRDefault="008C54DD" w:rsidP="008C54DD">
      <w:pPr>
        <w:pStyle w:val="N1"/>
        <w:tabs>
          <w:tab w:val="clear" w:pos="432"/>
        </w:tabs>
        <w:ind w:left="0" w:right="22" w:firstLine="0"/>
        <w:jc w:val="both"/>
        <w:rPr>
          <w:szCs w:val="24"/>
        </w:rPr>
      </w:pPr>
      <w:r w:rsidRPr="00086D07">
        <w:rPr>
          <w:szCs w:val="24"/>
        </w:rPr>
        <w:t xml:space="preserve">6. V souvislosti </w:t>
      </w:r>
      <w:r>
        <w:rPr>
          <w:szCs w:val="24"/>
        </w:rPr>
        <w:t>s</w:t>
      </w:r>
      <w:r w:rsidRPr="00086D07">
        <w:rPr>
          <w:szCs w:val="24"/>
        </w:rPr>
        <w:t>e zadáním veřejné zakázky malého rozsahu zadavatel na počátku zadávacího procesu rozhodne, jakým způsobem zahájí zadávání předmětné veřejné zakázky malého rozsahu. Zadavatel není povinen zadat veřejnou zakázku malého rozsahu v zadávacím řízení, dodržuje však jednotný interní postup platný pro zadávání veřejných zakázek malého rozsahu.</w:t>
      </w:r>
    </w:p>
    <w:p w:rsidR="008C54DD" w:rsidRPr="00086D07" w:rsidRDefault="008C54DD" w:rsidP="008C54DD">
      <w:pPr>
        <w:pStyle w:val="N1"/>
        <w:tabs>
          <w:tab w:val="clear" w:pos="432"/>
        </w:tabs>
        <w:ind w:left="0" w:right="22" w:firstLine="0"/>
        <w:jc w:val="both"/>
        <w:rPr>
          <w:szCs w:val="24"/>
        </w:rPr>
      </w:pPr>
    </w:p>
    <w:p w:rsidR="008C54DD" w:rsidRPr="00086D07" w:rsidRDefault="008C54DD" w:rsidP="008C54DD">
      <w:pPr>
        <w:pStyle w:val="N1"/>
        <w:tabs>
          <w:tab w:val="clear" w:pos="432"/>
        </w:tabs>
        <w:ind w:left="0" w:right="22" w:firstLine="0"/>
        <w:jc w:val="both"/>
        <w:rPr>
          <w:szCs w:val="24"/>
        </w:rPr>
      </w:pPr>
      <w:r w:rsidRPr="00086D07">
        <w:rPr>
          <w:szCs w:val="24"/>
        </w:rPr>
        <w:t xml:space="preserve">7. V případě, kdy zahájí zadávání veřejné zakázky malého rozsahu postupem platným pro podlimitní veřejné zakázky, postupuje tímto způsobem i nadále a zadá veřejnou zakázku malého </w:t>
      </w:r>
      <w:r w:rsidRPr="00086D07">
        <w:rPr>
          <w:szCs w:val="24"/>
        </w:rPr>
        <w:lastRenderedPageBreak/>
        <w:t xml:space="preserve">rozsahu dle pravidel stanovených zákonem pro zadávání podlimitních veřejných zakázek, § 26 odst. 5 zákona. </w:t>
      </w:r>
    </w:p>
    <w:p w:rsidR="008C54DD" w:rsidRPr="00086D07" w:rsidRDefault="008C54DD" w:rsidP="008C54DD">
      <w:pPr>
        <w:pStyle w:val="N1"/>
        <w:tabs>
          <w:tab w:val="clear" w:pos="432"/>
        </w:tabs>
        <w:ind w:left="0" w:right="22" w:firstLine="0"/>
        <w:jc w:val="both"/>
        <w:rPr>
          <w:szCs w:val="24"/>
        </w:rPr>
      </w:pPr>
    </w:p>
    <w:p w:rsidR="008C54DD" w:rsidRPr="00FF7EF5" w:rsidRDefault="008C54DD" w:rsidP="008C54DD">
      <w:pPr>
        <w:pStyle w:val="N1"/>
        <w:tabs>
          <w:tab w:val="clear" w:pos="432"/>
        </w:tabs>
        <w:ind w:left="0" w:right="22" w:firstLine="0"/>
        <w:jc w:val="both"/>
      </w:pPr>
      <w:r w:rsidRPr="00086D07">
        <w:rPr>
          <w:szCs w:val="24"/>
        </w:rPr>
        <w:t>8. Nezahájí-li zadavatel zadávání veřejné zakázky postupem platným pro podlimitní veřejné zakázky, je oprávněn postupovat zcela mimo režim zákona. Veřejný zadavatel je však vždy povinen postupovat v rámci zadávacího řízení transparentně, nediskriminačně a dodržovat zásadu rovného zacházení. Pro splnění všech těchto podmínek zadavatel stanovuje touto směrnicí závaznou pro všechny osoby jednající jménem zadavatele, základní pravidla, za kterých může být veřejná zakázka</w:t>
      </w:r>
      <w:r w:rsidRPr="00FF7EF5">
        <w:t xml:space="preserve"> malého rozsahu zadána.</w:t>
      </w:r>
    </w:p>
    <w:p w:rsidR="008C54DD" w:rsidRPr="00FF7EF5" w:rsidRDefault="008C54DD" w:rsidP="008C54DD">
      <w:pPr>
        <w:pStyle w:val="N1"/>
        <w:tabs>
          <w:tab w:val="clear" w:pos="432"/>
        </w:tabs>
        <w:ind w:left="0" w:right="22" w:firstLine="0"/>
        <w:jc w:val="both"/>
      </w:pPr>
    </w:p>
    <w:p w:rsidR="008C54DD" w:rsidRPr="00FF7EF5" w:rsidRDefault="008C54DD" w:rsidP="008C54DD">
      <w:pPr>
        <w:pStyle w:val="N1"/>
        <w:tabs>
          <w:tab w:val="clear" w:pos="432"/>
        </w:tabs>
        <w:ind w:left="0" w:right="22" w:firstLine="0"/>
        <w:jc w:val="both"/>
      </w:pPr>
      <w:r w:rsidRPr="00FF7EF5">
        <w:t xml:space="preserve">9. Vzhledem k tomu, že hodnota plnění poskytnutého na základě veřejné zakázky malého rozsahu může být od 0,10 Kč do </w:t>
      </w:r>
      <w:r>
        <w:t>2</w:t>
      </w:r>
      <w:r w:rsidRPr="00FF7EF5">
        <w:t>.000.000,</w:t>
      </w:r>
      <w:r>
        <w:t xml:space="preserve">- Kč bez daně z přidané hodnoty, nebo </w:t>
      </w:r>
      <w:r w:rsidRPr="00FF7EF5">
        <w:t xml:space="preserve">v případě dodávek a služeb a v případě stavebních prací do </w:t>
      </w:r>
      <w:r>
        <w:t>6</w:t>
      </w:r>
      <w:r w:rsidRPr="00FF7EF5">
        <w:t xml:space="preserve">.000.000,- Kč bez daně z přidané hodnoty, stanovuje tento interní předpis pravidla pro zadávání v závislosti na předpokládané hodnotě předmětu veřejné zakázky malého rozsahu. V takovém případě je třeba, aby zadavatel dodržoval obdobným způsobem zákaz dělení zakázek, v jehož důsledku by byla smlouva na plnění veřejné zakázky malého rozsahu uzavřena méně přísným způsobem. </w:t>
      </w:r>
    </w:p>
    <w:p w:rsidR="008C54DD" w:rsidRPr="00FF7EF5" w:rsidRDefault="008C54DD" w:rsidP="008C54DD">
      <w:pPr>
        <w:pStyle w:val="N1"/>
        <w:tabs>
          <w:tab w:val="clear" w:pos="432"/>
        </w:tabs>
        <w:ind w:left="0" w:right="22" w:firstLine="0"/>
        <w:jc w:val="both"/>
      </w:pPr>
    </w:p>
    <w:p w:rsidR="008C54DD" w:rsidRPr="00FF7EF5" w:rsidRDefault="008C54DD" w:rsidP="008C54DD">
      <w:pPr>
        <w:pStyle w:val="N1"/>
        <w:tabs>
          <w:tab w:val="clear" w:pos="432"/>
        </w:tabs>
        <w:ind w:left="0" w:right="22" w:firstLine="0"/>
        <w:jc w:val="both"/>
      </w:pPr>
      <w:r w:rsidRPr="00FF7EF5">
        <w:t>10. Veřejný zadavatel uchovává veškerou dokumentaci vzniklou v souvislosti se zadáváním veřejné zakázky malého rozsahu, a to zejména pro účely případné kontroly prováděné dle zákona č. 320/2001 Sb., o finanční kontrole ve veřejné správě, ve znění pozdějších předpisů, nebo vzhledem k pravomocem Nejvyššího kontrolního úřadu dle zákona č. 166/1993 Sb., o Nejvyšším kontrolním úřadu, ve znění pozdějších předpisů.</w:t>
      </w:r>
    </w:p>
    <w:p w:rsidR="008C54DD" w:rsidRPr="00FF7EF5" w:rsidRDefault="008C54DD" w:rsidP="008C54DD">
      <w:pPr>
        <w:pStyle w:val="N1"/>
        <w:tabs>
          <w:tab w:val="clear" w:pos="432"/>
        </w:tabs>
        <w:ind w:left="0" w:right="22" w:firstLine="0"/>
        <w:jc w:val="both"/>
      </w:pPr>
    </w:p>
    <w:p w:rsidR="008C54DD" w:rsidRPr="00086D07" w:rsidRDefault="008C54DD" w:rsidP="008C54DD">
      <w:pPr>
        <w:ind w:right="22"/>
        <w:jc w:val="both"/>
        <w:rPr>
          <w:i/>
          <w:sz w:val="24"/>
          <w:szCs w:val="24"/>
        </w:rPr>
      </w:pPr>
      <w:r w:rsidRPr="00086D07">
        <w:rPr>
          <w:sz w:val="24"/>
          <w:szCs w:val="24"/>
        </w:rPr>
        <w:t>11. Zadavatel se v rámci zpracování interního předpisu přidržuje následujícího modelového rozdělení, které vychází z principu proporcionality, který zohledňuje cenu veřejné zakázky malého rozsahu ve srovnání s náklady na proces jejího zadání a možné přínosy zadávací procedury (veškeré níže uvedené lhůty jsou lhůty vymezené kalendářními, nikoliv pracovními, dny):</w:t>
      </w:r>
    </w:p>
    <w:p w:rsidR="008C54DD" w:rsidRPr="00086D07" w:rsidRDefault="008C54DD" w:rsidP="008C54DD">
      <w:pPr>
        <w:pStyle w:val="N1"/>
        <w:tabs>
          <w:tab w:val="clear" w:pos="432"/>
        </w:tabs>
        <w:ind w:left="0" w:right="22" w:firstLine="0"/>
        <w:jc w:val="both"/>
        <w:rPr>
          <w:szCs w:val="24"/>
        </w:rPr>
      </w:pPr>
    </w:p>
    <w:p w:rsidR="008C54DD" w:rsidRPr="00086D07" w:rsidRDefault="008C54DD" w:rsidP="008C54DD">
      <w:pPr>
        <w:pStyle w:val="N1"/>
        <w:tabs>
          <w:tab w:val="clear" w:pos="432"/>
          <w:tab w:val="left" w:pos="360"/>
        </w:tabs>
        <w:ind w:left="360" w:right="22" w:hanging="360"/>
        <w:jc w:val="both"/>
        <w:rPr>
          <w:szCs w:val="24"/>
        </w:rPr>
      </w:pPr>
      <w:r w:rsidRPr="00086D07">
        <w:rPr>
          <w:szCs w:val="24"/>
        </w:rPr>
        <w:t xml:space="preserve">11.1. Závazná pravidla pro zadávání veřejných zakázek v hodnotě nepřesahující </w:t>
      </w:r>
      <w:r>
        <w:rPr>
          <w:szCs w:val="24"/>
        </w:rPr>
        <w:t>2</w:t>
      </w:r>
      <w:r w:rsidRPr="00086D07">
        <w:rPr>
          <w:szCs w:val="24"/>
        </w:rPr>
        <w:t>.000</w:t>
      </w:r>
      <w:r>
        <w:rPr>
          <w:szCs w:val="24"/>
        </w:rPr>
        <w:t>.000</w:t>
      </w:r>
      <w:r w:rsidRPr="00086D07">
        <w:rPr>
          <w:szCs w:val="24"/>
        </w:rPr>
        <w:t xml:space="preserve">,-Kč bez daně z přidané hodnoty v případě veřejných zakázek na dodávky a služby, resp. </w:t>
      </w:r>
      <w:r>
        <w:rPr>
          <w:szCs w:val="24"/>
        </w:rPr>
        <w:t>6.0</w:t>
      </w:r>
      <w:r w:rsidRPr="00086D07">
        <w:rPr>
          <w:szCs w:val="24"/>
        </w:rPr>
        <w:t>00.000,-Kč bez daně z přidané hodnoty v případě veřejných zakázek na stavební práce</w:t>
      </w:r>
    </w:p>
    <w:p w:rsidR="008C54DD" w:rsidRPr="00086D07" w:rsidRDefault="008C54DD" w:rsidP="008C54DD">
      <w:pPr>
        <w:pStyle w:val="N1"/>
        <w:tabs>
          <w:tab w:val="clear" w:pos="432"/>
        </w:tabs>
        <w:ind w:left="0" w:right="22" w:firstLine="0"/>
        <w:jc w:val="both"/>
        <w:rPr>
          <w:szCs w:val="24"/>
        </w:rPr>
      </w:pPr>
    </w:p>
    <w:p w:rsidR="008C54DD" w:rsidRPr="00086D07" w:rsidRDefault="008C54DD" w:rsidP="008C54DD">
      <w:pPr>
        <w:pStyle w:val="N1"/>
        <w:tabs>
          <w:tab w:val="clear" w:pos="432"/>
        </w:tabs>
        <w:ind w:left="0" w:right="22" w:firstLine="0"/>
        <w:jc w:val="both"/>
        <w:rPr>
          <w:szCs w:val="24"/>
        </w:rPr>
      </w:pPr>
      <w:r w:rsidRPr="00086D07">
        <w:rPr>
          <w:szCs w:val="24"/>
        </w:rPr>
        <w:t>Taková veřejná zakázka může být zadána následujícím způsobem:</w:t>
      </w:r>
    </w:p>
    <w:p w:rsidR="008C54DD" w:rsidRPr="00086D07" w:rsidRDefault="008C54DD" w:rsidP="008C54DD">
      <w:pPr>
        <w:numPr>
          <w:ilvl w:val="2"/>
          <w:numId w:val="2"/>
        </w:numPr>
        <w:ind w:left="360" w:right="22"/>
        <w:jc w:val="both"/>
        <w:rPr>
          <w:sz w:val="24"/>
          <w:szCs w:val="24"/>
        </w:rPr>
      </w:pPr>
      <w:r w:rsidRPr="00086D07">
        <w:rPr>
          <w:sz w:val="24"/>
          <w:szCs w:val="24"/>
        </w:rPr>
        <w:t>výzva jednomu dodavateli k předložení cenové nabídky (popřípadě s dalšími podmínkami plnění), pokud nemá zadavatel aktuální cenové nabídky již k dispozici, či přímá objednávka plnění, a to i například emailovou formou</w:t>
      </w:r>
    </w:p>
    <w:p w:rsidR="008C54DD" w:rsidRPr="00086D07" w:rsidRDefault="008C54DD" w:rsidP="008C54DD">
      <w:pPr>
        <w:numPr>
          <w:ilvl w:val="2"/>
          <w:numId w:val="2"/>
        </w:numPr>
        <w:ind w:left="360" w:right="22"/>
        <w:jc w:val="both"/>
        <w:rPr>
          <w:sz w:val="24"/>
          <w:szCs w:val="24"/>
        </w:rPr>
      </w:pPr>
      <w:r w:rsidRPr="00086D07">
        <w:rPr>
          <w:sz w:val="24"/>
          <w:szCs w:val="24"/>
        </w:rPr>
        <w:t>rozhodnutí pověřené osoby zadavatele na základě dodavatelem předložené či jinak dostupné aktuální nabídky (není nutné ustanovit hodnotící komisi)</w:t>
      </w:r>
    </w:p>
    <w:p w:rsidR="008C54DD" w:rsidRPr="00086D07" w:rsidRDefault="008C54DD" w:rsidP="008C54DD">
      <w:pPr>
        <w:numPr>
          <w:ilvl w:val="2"/>
          <w:numId w:val="2"/>
        </w:numPr>
        <w:ind w:left="360" w:right="22"/>
        <w:jc w:val="both"/>
        <w:rPr>
          <w:sz w:val="24"/>
          <w:szCs w:val="24"/>
        </w:rPr>
      </w:pPr>
      <w:r w:rsidRPr="00086D07">
        <w:rPr>
          <w:sz w:val="24"/>
          <w:szCs w:val="24"/>
        </w:rPr>
        <w:t>uzavření smlouvy (uzavřením smlouvy se v tomto případě rozumí rovněž doručení dodavatelem potvrzené objednávky či přímé poskytnutí požadovaného plnění dodavatelem)</w:t>
      </w:r>
    </w:p>
    <w:p w:rsidR="008C54DD" w:rsidRPr="00086D07" w:rsidRDefault="008C54DD" w:rsidP="008C54DD">
      <w:pPr>
        <w:numPr>
          <w:ilvl w:val="2"/>
          <w:numId w:val="2"/>
        </w:numPr>
        <w:ind w:left="360" w:right="22"/>
        <w:jc w:val="both"/>
        <w:rPr>
          <w:sz w:val="24"/>
          <w:szCs w:val="24"/>
        </w:rPr>
      </w:pPr>
      <w:r w:rsidRPr="00086D07">
        <w:rPr>
          <w:i/>
          <w:sz w:val="24"/>
          <w:szCs w:val="24"/>
        </w:rPr>
        <w:t>případně</w:t>
      </w:r>
      <w:r w:rsidRPr="00086D07">
        <w:rPr>
          <w:sz w:val="24"/>
          <w:szCs w:val="24"/>
        </w:rPr>
        <w:t xml:space="preserve"> rozhodnutí zadavatele o nepřidělení veřejné zakázky/odmítnutí nabídky (např. jestliže cenová nabídka nebo jiné podmínky plnění nejsou pro zadavatele akceptovatelné apod.).</w:t>
      </w:r>
    </w:p>
    <w:p w:rsidR="008C54DD" w:rsidRPr="00086D07" w:rsidRDefault="008C54DD" w:rsidP="008C54DD">
      <w:pPr>
        <w:pStyle w:val="N1"/>
        <w:numPr>
          <w:ilvl w:val="12"/>
          <w:numId w:val="0"/>
        </w:numPr>
        <w:ind w:right="22"/>
        <w:jc w:val="both"/>
        <w:rPr>
          <w:szCs w:val="24"/>
        </w:rPr>
      </w:pPr>
    </w:p>
    <w:p w:rsidR="008C54DD" w:rsidRPr="00086D07" w:rsidRDefault="008C54DD" w:rsidP="008C54DD">
      <w:pPr>
        <w:pStyle w:val="N1"/>
        <w:numPr>
          <w:ilvl w:val="12"/>
          <w:numId w:val="0"/>
        </w:numPr>
        <w:ind w:right="22"/>
        <w:jc w:val="both"/>
        <w:rPr>
          <w:szCs w:val="24"/>
        </w:rPr>
      </w:pPr>
      <w:r w:rsidRPr="00086D07">
        <w:rPr>
          <w:szCs w:val="24"/>
        </w:rPr>
        <w:t>Celý proces může být realizován jednou pověřenou osobou zadavatele oprávněnou činit jménem a na účet zadavatele tyto úkony. U těchto veřejných zakázek je možné postupovat i formou přímého nákupu v obchodě.</w:t>
      </w:r>
    </w:p>
    <w:p w:rsidR="008C54DD" w:rsidRPr="00086D07" w:rsidRDefault="008C54DD" w:rsidP="008C54DD">
      <w:pPr>
        <w:pStyle w:val="N1"/>
        <w:numPr>
          <w:ilvl w:val="12"/>
          <w:numId w:val="0"/>
        </w:numPr>
        <w:ind w:right="22"/>
        <w:jc w:val="both"/>
        <w:rPr>
          <w:szCs w:val="24"/>
        </w:rPr>
      </w:pPr>
    </w:p>
    <w:p w:rsidR="008C54DD" w:rsidRPr="00086D07" w:rsidRDefault="008C54DD" w:rsidP="008C54DD">
      <w:pPr>
        <w:numPr>
          <w:ilvl w:val="12"/>
          <w:numId w:val="0"/>
        </w:numPr>
        <w:ind w:left="5760"/>
        <w:rPr>
          <w:sz w:val="24"/>
          <w:szCs w:val="24"/>
        </w:rPr>
      </w:pPr>
    </w:p>
    <w:sectPr w:rsidR="008C54DD" w:rsidRPr="00086D07" w:rsidSect="00747F2F">
      <w:footerReference w:type="even" r:id="rId7"/>
      <w:footerReference w:type="default" r:id="rId8"/>
      <w:pgSz w:w="11907" w:h="16840" w:code="9"/>
      <w:pgMar w:top="1134" w:right="1134" w:bottom="1134" w:left="1134" w:header="567" w:footer="567" w:gutter="0"/>
      <w:pgNumType w:start="1"/>
      <w:cols w:sep="1" w:space="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4DD" w:rsidRDefault="008C54DD" w:rsidP="008C54DD">
      <w:r>
        <w:separator/>
      </w:r>
    </w:p>
  </w:endnote>
  <w:endnote w:type="continuationSeparator" w:id="0">
    <w:p w:rsidR="008C54DD" w:rsidRDefault="008C54DD" w:rsidP="008C54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D3" w:rsidRDefault="00C053BF">
    <w:pPr>
      <w:pStyle w:val="Zpat"/>
      <w:framePr w:wrap="auto" w:vAnchor="text" w:hAnchor="margin" w:xAlign="outside" w:y="1"/>
      <w:rPr>
        <w:rStyle w:val="slostrnky"/>
        <w:rFonts w:ascii="Arial" w:hAnsi="Arial"/>
        <w:b/>
        <w:sz w:val="24"/>
      </w:rPr>
    </w:pPr>
  </w:p>
  <w:p w:rsidR="001950D3" w:rsidRDefault="00C053BF">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D3" w:rsidRDefault="00C053BF">
    <w:pPr>
      <w:pStyle w:val="Zpat"/>
      <w:framePr w:wrap="auto" w:vAnchor="text" w:hAnchor="margin" w:xAlign="outside" w:y="1"/>
      <w:rPr>
        <w:rStyle w:val="slostrnky"/>
      </w:rPr>
    </w:pPr>
  </w:p>
  <w:p w:rsidR="001950D3" w:rsidRDefault="00C053BF" w:rsidP="008C54DD">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4DD" w:rsidRDefault="008C54DD" w:rsidP="008C54DD">
      <w:r>
        <w:separator/>
      </w:r>
    </w:p>
  </w:footnote>
  <w:footnote w:type="continuationSeparator" w:id="0">
    <w:p w:rsidR="008C54DD" w:rsidRDefault="008C54DD" w:rsidP="008C54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E3B"/>
    <w:multiLevelType w:val="multilevel"/>
    <w:tmpl w:val="D1BA47B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74857156"/>
    <w:multiLevelType w:val="multilevel"/>
    <w:tmpl w:val="5E92675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C54DD"/>
    <w:rsid w:val="00292544"/>
    <w:rsid w:val="003B0A3E"/>
    <w:rsid w:val="00641D99"/>
    <w:rsid w:val="008837F8"/>
    <w:rsid w:val="008C54DD"/>
    <w:rsid w:val="00C053BF"/>
    <w:rsid w:val="00DB7ADC"/>
    <w:rsid w:val="00DC320D"/>
    <w:rsid w:val="00EF5B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54D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C54DD"/>
    <w:pPr>
      <w:tabs>
        <w:tab w:val="center" w:pos="4536"/>
        <w:tab w:val="right" w:pos="9072"/>
      </w:tabs>
    </w:pPr>
  </w:style>
  <w:style w:type="character" w:customStyle="1" w:styleId="ZhlavChar">
    <w:name w:val="Záhlaví Char"/>
    <w:basedOn w:val="Standardnpsmoodstavce"/>
    <w:link w:val="Zhlav"/>
    <w:rsid w:val="008C54DD"/>
    <w:rPr>
      <w:rFonts w:ascii="Times New Roman" w:eastAsia="Times New Roman" w:hAnsi="Times New Roman" w:cs="Times New Roman"/>
      <w:sz w:val="20"/>
      <w:szCs w:val="20"/>
      <w:lang w:eastAsia="cs-CZ"/>
    </w:rPr>
  </w:style>
  <w:style w:type="paragraph" w:styleId="Zpat">
    <w:name w:val="footer"/>
    <w:basedOn w:val="Normln"/>
    <w:link w:val="ZpatChar"/>
    <w:rsid w:val="008C54DD"/>
    <w:pPr>
      <w:tabs>
        <w:tab w:val="center" w:pos="4536"/>
        <w:tab w:val="right" w:pos="9072"/>
      </w:tabs>
    </w:pPr>
  </w:style>
  <w:style w:type="character" w:customStyle="1" w:styleId="ZpatChar">
    <w:name w:val="Zápatí Char"/>
    <w:basedOn w:val="Standardnpsmoodstavce"/>
    <w:link w:val="Zpat"/>
    <w:rsid w:val="008C54DD"/>
    <w:rPr>
      <w:rFonts w:ascii="Times New Roman" w:eastAsia="Times New Roman" w:hAnsi="Times New Roman" w:cs="Times New Roman"/>
      <w:sz w:val="20"/>
      <w:szCs w:val="20"/>
      <w:lang w:eastAsia="cs-CZ"/>
    </w:rPr>
  </w:style>
  <w:style w:type="character" w:styleId="slostrnky">
    <w:name w:val="page number"/>
    <w:basedOn w:val="Standardnpsmoodstavce"/>
    <w:rsid w:val="008C54DD"/>
  </w:style>
  <w:style w:type="paragraph" w:styleId="Zkladntext">
    <w:name w:val="Body Text"/>
    <w:basedOn w:val="Normln"/>
    <w:link w:val="ZkladntextChar"/>
    <w:rsid w:val="008C54DD"/>
    <w:rPr>
      <w:color w:val="000000"/>
      <w:sz w:val="28"/>
    </w:rPr>
  </w:style>
  <w:style w:type="character" w:customStyle="1" w:styleId="ZkladntextChar">
    <w:name w:val="Základní text Char"/>
    <w:basedOn w:val="Standardnpsmoodstavce"/>
    <w:link w:val="Zkladntext"/>
    <w:rsid w:val="008C54DD"/>
    <w:rPr>
      <w:rFonts w:ascii="Times New Roman" w:eastAsia="Times New Roman" w:hAnsi="Times New Roman" w:cs="Times New Roman"/>
      <w:color w:val="000000"/>
      <w:sz w:val="28"/>
      <w:szCs w:val="20"/>
      <w:lang w:eastAsia="cs-CZ"/>
    </w:rPr>
  </w:style>
  <w:style w:type="paragraph" w:customStyle="1" w:styleId="Prosttext1">
    <w:name w:val="Prostý text1"/>
    <w:basedOn w:val="Normln"/>
    <w:rsid w:val="008C54DD"/>
    <w:rPr>
      <w:rFonts w:ascii="Courier New" w:hAnsi="Courier New"/>
    </w:rPr>
  </w:style>
  <w:style w:type="paragraph" w:customStyle="1" w:styleId="N1">
    <w:name w:val="N1"/>
    <w:basedOn w:val="Normln"/>
    <w:rsid w:val="008C54DD"/>
    <w:pPr>
      <w:tabs>
        <w:tab w:val="num" w:pos="432"/>
      </w:tabs>
      <w:ind w:left="432" w:hanging="432"/>
    </w:pPr>
    <w:rPr>
      <w:sz w:val="24"/>
    </w:rPr>
  </w:style>
  <w:style w:type="paragraph" w:customStyle="1" w:styleId="DefinitionTerm">
    <w:name w:val="Definition Term"/>
    <w:basedOn w:val="Normln"/>
    <w:next w:val="Normln"/>
    <w:uiPriority w:val="99"/>
    <w:rsid w:val="008C54DD"/>
    <w:pPr>
      <w:widowControl w:val="0"/>
      <w:textAlignment w:val="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837</Words>
  <Characters>4939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zuzana.strejckova</dc:creator>
  <cp:lastModifiedBy>zuzana.strejckova</cp:lastModifiedBy>
  <cp:revision>4</cp:revision>
  <cp:lastPrinted>2015-05-25T07:14:00Z</cp:lastPrinted>
  <dcterms:created xsi:type="dcterms:W3CDTF">2015-02-19T11:59:00Z</dcterms:created>
  <dcterms:modified xsi:type="dcterms:W3CDTF">2015-08-03T09:12:00Z</dcterms:modified>
</cp:coreProperties>
</file>